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5D57" w:rsidRPr="00495D57" w:rsidRDefault="00495D57" w:rsidP="00495D57">
      <w:pPr>
        <w:spacing w:beforeLines="1" w:afterLines="1"/>
        <w:jc w:val="center"/>
        <w:outlineLvl w:val="0"/>
        <w:rPr>
          <w:rFonts w:ascii="Times" w:hAnsi="Times"/>
          <w:b/>
          <w:kern w:val="36"/>
          <w:sz w:val="48"/>
          <w:szCs w:val="20"/>
          <w:lang w:eastAsia="it-IT"/>
        </w:rPr>
      </w:pPr>
      <w:r w:rsidRPr="00495D57">
        <w:rPr>
          <w:rFonts w:ascii="Times" w:hAnsi="Times"/>
          <w:b/>
          <w:kern w:val="36"/>
          <w:sz w:val="48"/>
          <w:szCs w:val="20"/>
          <w:lang w:eastAsia="it-IT"/>
        </w:rPr>
        <w:t xml:space="preserve">Articolo </w:t>
      </w:r>
      <w:proofErr w:type="gramStart"/>
      <w:r w:rsidRPr="00495D57">
        <w:rPr>
          <w:rFonts w:ascii="Times" w:hAnsi="Times"/>
          <w:b/>
          <w:kern w:val="36"/>
          <w:sz w:val="48"/>
          <w:szCs w:val="20"/>
          <w:lang w:eastAsia="it-IT"/>
        </w:rPr>
        <w:t>47</w:t>
      </w:r>
      <w:proofErr w:type="gramEnd"/>
      <w:r w:rsidRPr="00495D57">
        <w:rPr>
          <w:rFonts w:ascii="Times" w:hAnsi="Times"/>
          <w:b/>
          <w:kern w:val="36"/>
          <w:sz w:val="48"/>
          <w:szCs w:val="20"/>
          <w:lang w:eastAsia="it-IT"/>
        </w:rPr>
        <w:t xml:space="preserve"> Legge sull'ordinamento penitenziario</w:t>
      </w:r>
    </w:p>
    <w:p w:rsidR="00495D57" w:rsidRPr="00495D57" w:rsidRDefault="00495D57" w:rsidP="00495D57">
      <w:pPr>
        <w:spacing w:beforeLines="1" w:afterLines="1"/>
        <w:jc w:val="center"/>
        <w:outlineLvl w:val="1"/>
        <w:rPr>
          <w:rFonts w:ascii="Times" w:hAnsi="Times"/>
          <w:b/>
          <w:sz w:val="36"/>
          <w:szCs w:val="20"/>
          <w:lang w:eastAsia="it-IT"/>
        </w:rPr>
      </w:pPr>
      <w:r w:rsidRPr="00495D57">
        <w:rPr>
          <w:rFonts w:ascii="Times" w:hAnsi="Times"/>
          <w:b/>
          <w:sz w:val="36"/>
          <w:szCs w:val="20"/>
          <w:lang w:eastAsia="it-IT"/>
        </w:rPr>
        <w:t>(L. 26 luglio 1975, n. 354)</w:t>
      </w:r>
    </w:p>
    <w:p w:rsidR="00495D57" w:rsidRPr="00495D57" w:rsidRDefault="00495D57" w:rsidP="00495D57">
      <w:pPr>
        <w:jc w:val="center"/>
        <w:rPr>
          <w:rFonts w:ascii="Times" w:hAnsi="Times"/>
          <w:sz w:val="20"/>
          <w:szCs w:val="20"/>
          <w:lang w:eastAsia="it-IT"/>
        </w:rPr>
      </w:pPr>
      <w:proofErr w:type="gramStart"/>
      <w:r w:rsidRPr="00495D57">
        <w:rPr>
          <w:rFonts w:ascii="Times" w:hAnsi="Times"/>
          <w:sz w:val="15"/>
          <w:szCs w:val="20"/>
          <w:lang w:eastAsia="it-IT"/>
        </w:rPr>
        <w:t>[Aggiornato</w:t>
      </w:r>
      <w:proofErr w:type="gramEnd"/>
      <w:r w:rsidRPr="00495D57">
        <w:rPr>
          <w:rFonts w:ascii="Times" w:hAnsi="Times"/>
          <w:sz w:val="15"/>
          <w:szCs w:val="20"/>
          <w:lang w:eastAsia="it-IT"/>
        </w:rPr>
        <w:t xml:space="preserve"> al 20/03/2025]</w:t>
      </w:r>
    </w:p>
    <w:p w:rsidR="00495D57" w:rsidRPr="00495D57" w:rsidRDefault="00495D57" w:rsidP="00495D57">
      <w:pPr>
        <w:spacing w:beforeLines="1" w:afterLines="1"/>
        <w:jc w:val="center"/>
        <w:outlineLvl w:val="2"/>
        <w:rPr>
          <w:rFonts w:ascii="Times" w:hAnsi="Times"/>
          <w:b/>
          <w:sz w:val="27"/>
          <w:szCs w:val="20"/>
          <w:lang w:eastAsia="it-IT"/>
        </w:rPr>
      </w:pPr>
      <w:r w:rsidRPr="00495D57">
        <w:rPr>
          <w:rFonts w:ascii="Times" w:hAnsi="Times"/>
          <w:b/>
          <w:sz w:val="27"/>
          <w:szCs w:val="20"/>
          <w:lang w:eastAsia="it-IT"/>
        </w:rPr>
        <w:t>Affidamento in prova al servizio sociale</w:t>
      </w:r>
    </w:p>
    <w:p w:rsidR="00495D57" w:rsidRDefault="00495D57" w:rsidP="00495D57">
      <w:pPr>
        <w:pStyle w:val="comma"/>
        <w:spacing w:before="2" w:after="2"/>
        <w:rPr>
          <w:rFonts w:cs="Times New Roman"/>
        </w:rPr>
      </w:pPr>
    </w:p>
    <w:p w:rsidR="00495D57" w:rsidRDefault="00495D57" w:rsidP="00495D57">
      <w:pPr>
        <w:pStyle w:val="comma"/>
        <w:spacing w:before="2" w:after="2"/>
        <w:rPr>
          <w:rFonts w:cs="Times New Roman"/>
        </w:rPr>
      </w:pPr>
    </w:p>
    <w:p w:rsidR="00495D57" w:rsidRDefault="00495D57" w:rsidP="00495D57">
      <w:pPr>
        <w:pStyle w:val="comma"/>
        <w:spacing w:before="2" w:after="2"/>
        <w:rPr>
          <w:rFonts w:cs="Times New Roman"/>
        </w:rPr>
      </w:pPr>
      <w:r>
        <w:rPr>
          <w:rFonts w:cs="Times New Roman"/>
        </w:rPr>
        <w:t>1. Se la pena detentiva inflitta non supera tre anni, il condannato può essere affidato al servizio sociale fuori dell'istituto per un periodo uguale a quello della pena da scontare.</w:t>
      </w:r>
    </w:p>
    <w:p w:rsidR="00495D57" w:rsidRDefault="00495D57" w:rsidP="00495D57">
      <w:pPr>
        <w:pStyle w:val="comma"/>
        <w:spacing w:before="2" w:after="2"/>
        <w:rPr>
          <w:rFonts w:cs="Times New Roman"/>
        </w:rPr>
      </w:pPr>
      <w:r>
        <w:rPr>
          <w:rFonts w:cs="Times New Roman"/>
        </w:rPr>
        <w:t xml:space="preserve">2. Il provvedimento è adottato sulla base dei risultati della osservazione della personalità, condotta </w:t>
      </w:r>
      <w:proofErr w:type="gramStart"/>
      <w:r>
        <w:rPr>
          <w:rFonts w:cs="Times New Roman"/>
        </w:rPr>
        <w:t>collegialmente</w:t>
      </w:r>
      <w:proofErr w:type="gramEnd"/>
      <w:r>
        <w:rPr>
          <w:rFonts w:cs="Times New Roman"/>
        </w:rPr>
        <w:t xml:space="preserve"> per almeno un mese in istituto, se il soggetto è recluso, e mediante l'intervento dell'ufficio di esecuzione penale esterna, se l'istanza è proposta da soggetto in libertà, nei casi in cui si può ritenere che il provvedimento stesso, anche attraverso le prescrizioni di cui al comma 5, contribuisca alla rieducazione del reo e assicuri la prevenzione del pericolo che egli commetta altri reati</w:t>
      </w:r>
      <w:hyperlink r:id="rId4" w:anchor="nota_21148" w:history="1">
        <w:r>
          <w:rPr>
            <w:rStyle w:val="Collegamentoipertestuale"/>
            <w:rFonts w:cs="Times New Roman"/>
            <w:vertAlign w:val="superscript"/>
          </w:rPr>
          <w:t>(1)</w:t>
        </w:r>
      </w:hyperlink>
      <w:r>
        <w:rPr>
          <w:rFonts w:cs="Times New Roman"/>
        </w:rPr>
        <w:t>.</w:t>
      </w:r>
    </w:p>
    <w:p w:rsidR="00495D57" w:rsidRDefault="00495D57" w:rsidP="00495D57">
      <w:pPr>
        <w:pStyle w:val="comma"/>
        <w:spacing w:before="2" w:after="2"/>
        <w:rPr>
          <w:rFonts w:cs="Times New Roman"/>
        </w:rPr>
      </w:pPr>
      <w:r>
        <w:rPr>
          <w:rFonts w:cs="Times New Roman"/>
        </w:rPr>
        <w:t xml:space="preserve">2-bis. Il condannato, qualora non sia in grado di offrire valide occasioni di reinserimento esterno tramite attività di lavoro, autonomo o dipendente, può essere ammesso, in sostituzione, a un idoneo servizio di volontariato oppure ad attività di pubblica utilità, senza remunerazione, nelle forme e con le </w:t>
      </w:r>
      <w:proofErr w:type="gramStart"/>
      <w:r>
        <w:rPr>
          <w:rFonts w:cs="Times New Roman"/>
        </w:rPr>
        <w:t>modalità</w:t>
      </w:r>
      <w:proofErr w:type="gramEnd"/>
      <w:r>
        <w:rPr>
          <w:rFonts w:cs="Times New Roman"/>
        </w:rPr>
        <w:t xml:space="preserve"> di cui agli articoli 1, 2 e 4 del decreto del Ministro della giustizia 26 marzo 2001, pubblicato nella Gazzetta Ufficiale n. 80 del 5 aprile 2001, in quanto compatibili, nell'ambito di piani di attività predisposti entro il 31 gennaio di ogni anno, di concerto tra gli enti interessati, le direzioni penitenziarie e gli uffici per l'esecuzione penale esterna e comunicati al presidente del tribunale di sorveglianza territorialmente competente</w:t>
      </w:r>
      <w:hyperlink r:id="rId5" w:anchor="nota_26807" w:history="1">
        <w:r>
          <w:rPr>
            <w:rStyle w:val="Collegamentoipertestuale"/>
            <w:rFonts w:cs="Times New Roman"/>
            <w:vertAlign w:val="superscript"/>
          </w:rPr>
          <w:t>(4)</w:t>
        </w:r>
      </w:hyperlink>
      <w:r>
        <w:rPr>
          <w:rFonts w:cs="Times New Roman"/>
        </w:rPr>
        <w:t>.</w:t>
      </w:r>
    </w:p>
    <w:p w:rsidR="00495D57" w:rsidRDefault="00495D57" w:rsidP="00495D57">
      <w:pPr>
        <w:pStyle w:val="comma"/>
        <w:spacing w:before="2" w:after="2"/>
        <w:rPr>
          <w:rFonts w:cs="Times New Roman"/>
        </w:rPr>
      </w:pPr>
      <w:r>
        <w:rPr>
          <w:rFonts w:cs="Times New Roman"/>
        </w:rPr>
        <w:t xml:space="preserve">3. L'affidamento in prova al servizio sociale può essere disposto senza procedere all'osservazione in istituto quando il condannato, dopo la commissione del reato, ha serbato comportamento tale da consentire il giudizio di cui al comma </w:t>
      </w:r>
      <w:proofErr w:type="gramStart"/>
      <w:r>
        <w:rPr>
          <w:rFonts w:cs="Times New Roman"/>
        </w:rPr>
        <w:t>2</w:t>
      </w:r>
      <w:proofErr w:type="gramEnd"/>
      <w:r>
        <w:rPr>
          <w:rFonts w:cs="Times New Roman"/>
        </w:rPr>
        <w:t>.</w:t>
      </w:r>
    </w:p>
    <w:p w:rsidR="00495D57" w:rsidRDefault="00495D57" w:rsidP="00495D57">
      <w:pPr>
        <w:pStyle w:val="comma"/>
        <w:spacing w:before="2" w:after="2"/>
        <w:rPr>
          <w:rFonts w:cs="Times New Roman"/>
        </w:rPr>
      </w:pPr>
      <w:r>
        <w:rPr>
          <w:rFonts w:cs="Times New Roman"/>
        </w:rPr>
        <w:t xml:space="preserve">3-bis. L'affidamento in prova può, altresì, essere concesso al condannato che deve espiare una pena, anche residua, non superiore a quattro anni di detenzione, quando abbia serbato, quantomeno nell'anno precedente alla presentazione della richiesta, trascorso in espiazione di pena, in esecuzione di una misura cautelare ovvero in libertà, un comportamento tale da consentire il giudizio di cui al comma </w:t>
      </w:r>
      <w:proofErr w:type="gramStart"/>
      <w:r>
        <w:rPr>
          <w:rFonts w:cs="Times New Roman"/>
        </w:rPr>
        <w:t>2</w:t>
      </w:r>
      <w:proofErr w:type="gramEnd"/>
      <w:r>
        <w:rPr>
          <w:rFonts w:cs="Times New Roman"/>
        </w:rPr>
        <w:t>.</w:t>
      </w:r>
    </w:p>
    <w:p w:rsidR="00495D57" w:rsidRDefault="00495D57" w:rsidP="00495D57">
      <w:pPr>
        <w:pStyle w:val="comma"/>
        <w:spacing w:before="2" w:after="2"/>
        <w:rPr>
          <w:rFonts w:cs="Times New Roman"/>
        </w:rPr>
      </w:pPr>
      <w:r>
        <w:rPr>
          <w:rFonts w:cs="Times New Roman"/>
        </w:rPr>
        <w:t xml:space="preserve">3-ter. L'affidamento in prova può altresì essere concesso al condannato alle pene sostitutive della semilibertà </w:t>
      </w:r>
      <w:proofErr w:type="gramStart"/>
      <w:r>
        <w:rPr>
          <w:rFonts w:cs="Times New Roman"/>
        </w:rPr>
        <w:t>sostitutiva</w:t>
      </w:r>
      <w:proofErr w:type="gramEnd"/>
      <w:r>
        <w:rPr>
          <w:rFonts w:cs="Times New Roman"/>
        </w:rPr>
        <w:t xml:space="preserve"> o della detenzione domiciliare sostitutiva previste dalla legge 24 novembre 1981, n. 689, dopo l'espiazione di almeno metà della pena, quando il condannato abbia serbato un comportamento tale per cui l'affidamento in prova appaia più idoneo alla sua rieducazione e assicuri comunque la prevenzione del pericolo di commissione di altri reati. Il tribunale di sorveglianza procede ai sensi dell'articolo </w:t>
      </w:r>
      <w:hyperlink r:id="rId6" w:history="1">
        <w:r>
          <w:rPr>
            <w:rStyle w:val="Collegamentoipertestuale"/>
            <w:rFonts w:cs="Times New Roman"/>
          </w:rPr>
          <w:t>678</w:t>
        </w:r>
      </w:hyperlink>
      <w:r>
        <w:rPr>
          <w:rFonts w:cs="Times New Roman"/>
        </w:rPr>
        <w:t xml:space="preserve">, comma 1-ter, del </w:t>
      </w:r>
      <w:hyperlink r:id="rId7" w:history="1">
        <w:r>
          <w:rPr>
            <w:rStyle w:val="Collegamentoipertestuale"/>
            <w:rFonts w:cs="Times New Roman"/>
          </w:rPr>
          <w:t>Codice di procedura penale</w:t>
        </w:r>
      </w:hyperlink>
      <w:r>
        <w:rPr>
          <w:rFonts w:cs="Times New Roman"/>
        </w:rPr>
        <w:t xml:space="preserve">, </w:t>
      </w:r>
      <w:proofErr w:type="gramStart"/>
      <w:r>
        <w:rPr>
          <w:rFonts w:cs="Times New Roman"/>
        </w:rPr>
        <w:t>in quanto</w:t>
      </w:r>
      <w:proofErr w:type="gramEnd"/>
      <w:r>
        <w:rPr>
          <w:rFonts w:cs="Times New Roman"/>
        </w:rPr>
        <w:t xml:space="preserve"> compatibile</w:t>
      </w:r>
      <w:hyperlink r:id="rId8" w:anchor="nota_24310" w:history="1">
        <w:r>
          <w:rPr>
            <w:rStyle w:val="Collegamentoipertestuale"/>
            <w:rFonts w:cs="Times New Roman"/>
            <w:vertAlign w:val="superscript"/>
          </w:rPr>
          <w:t>(3)</w:t>
        </w:r>
      </w:hyperlink>
      <w:r>
        <w:rPr>
          <w:rFonts w:cs="Times New Roman"/>
        </w:rPr>
        <w:t>.</w:t>
      </w:r>
    </w:p>
    <w:p w:rsidR="00495D57" w:rsidRDefault="00495D57" w:rsidP="00495D57">
      <w:pPr>
        <w:pStyle w:val="comma"/>
        <w:spacing w:before="2" w:after="2"/>
        <w:rPr>
          <w:rFonts w:cs="Times New Roman"/>
        </w:rPr>
      </w:pPr>
      <w:r>
        <w:rPr>
          <w:rFonts w:cs="Times New Roman"/>
        </w:rPr>
        <w:t>4. L'</w:t>
      </w:r>
      <w:proofErr w:type="gramStart"/>
      <w:r>
        <w:rPr>
          <w:rFonts w:cs="Times New Roman"/>
        </w:rPr>
        <w:t>istanza</w:t>
      </w:r>
      <w:proofErr w:type="gramEnd"/>
      <w:r>
        <w:rPr>
          <w:rFonts w:cs="Times New Roman"/>
        </w:rPr>
        <w:t xml:space="preserve"> di affidamento in prova al servizio sociale è proposta, dopo che ha avuto inizio l'esecuzione della pena, al tribunale di sorveglianza competente in relazione al luogo dell'esecuzione. Quando sussiste un grave pregiudizio derivante dalla protrazione dello stato di detenzione, l'</w:t>
      </w:r>
      <w:proofErr w:type="gramStart"/>
      <w:r>
        <w:rPr>
          <w:rFonts w:cs="Times New Roman"/>
        </w:rPr>
        <w:t>istanza</w:t>
      </w:r>
      <w:proofErr w:type="gramEnd"/>
      <w:r>
        <w:rPr>
          <w:rFonts w:cs="Times New Roman"/>
        </w:rPr>
        <w:t xml:space="preserve"> può essere proposta al magistrato di sorveglianza competente in relazione al luogo di detenzione. Il magistrato di sorveglianza, quando sono offerte concrete indicazioni </w:t>
      </w:r>
      <w:proofErr w:type="gramStart"/>
      <w:r>
        <w:rPr>
          <w:rFonts w:cs="Times New Roman"/>
        </w:rPr>
        <w:t>in ordine alla</w:t>
      </w:r>
      <w:proofErr w:type="gramEnd"/>
      <w:r>
        <w:rPr>
          <w:rFonts w:cs="Times New Roman"/>
        </w:rPr>
        <w:t xml:space="preserve"> sussistenza dei presupposti per l'ammissione all'affidamento in prova e al grave pregiudizio derivante dalla protrazione dello stato di detenzione e non vi sia pericolo di fuga, dispone la liberazione del condannato e l'applicazione provvisoria dell'affidamento in prova con ordinanza. L'ordinanza conserva efficacia fino alla decisione del tribunale di sorveglianza, cui il magistrato trasmette immediatamente gli atti, che </w:t>
      </w:r>
      <w:proofErr w:type="gramStart"/>
      <w:r>
        <w:rPr>
          <w:rFonts w:cs="Times New Roman"/>
        </w:rPr>
        <w:t>decide</w:t>
      </w:r>
      <w:proofErr w:type="gramEnd"/>
      <w:r>
        <w:rPr>
          <w:rFonts w:cs="Times New Roman"/>
        </w:rPr>
        <w:t xml:space="preserve"> entro sessanta giorni.</w:t>
      </w:r>
    </w:p>
    <w:p w:rsidR="00495D57" w:rsidRDefault="00495D57" w:rsidP="00495D57">
      <w:pPr>
        <w:pStyle w:val="comma"/>
        <w:spacing w:before="2" w:after="2"/>
        <w:rPr>
          <w:rFonts w:cs="Times New Roman"/>
        </w:rPr>
      </w:pPr>
      <w:r>
        <w:rPr>
          <w:rFonts w:cs="Times New Roman"/>
        </w:rPr>
        <w:t xml:space="preserve">5. All'atto dell'affidamento è redatto verbale in cui sono dettate le prescrizioni che il soggetto dovrà seguire </w:t>
      </w:r>
      <w:proofErr w:type="gramStart"/>
      <w:r>
        <w:rPr>
          <w:rFonts w:cs="Times New Roman"/>
        </w:rPr>
        <w:t>in ordine ai</w:t>
      </w:r>
      <w:proofErr w:type="gramEnd"/>
      <w:r>
        <w:rPr>
          <w:rFonts w:cs="Times New Roman"/>
        </w:rPr>
        <w:t xml:space="preserve"> </w:t>
      </w:r>
      <w:proofErr w:type="gramStart"/>
      <w:r>
        <w:rPr>
          <w:rFonts w:cs="Times New Roman"/>
        </w:rPr>
        <w:t>suoi</w:t>
      </w:r>
      <w:proofErr w:type="gramEnd"/>
      <w:r>
        <w:rPr>
          <w:rFonts w:cs="Times New Roman"/>
        </w:rPr>
        <w:t xml:space="preserve"> rapporti con il servizio sociale, alla dimora, alla libertà di locomozione, al divieto di frequentare determinati locali ed al lavoro.</w:t>
      </w:r>
    </w:p>
    <w:p w:rsidR="00495D57" w:rsidRDefault="00495D57" w:rsidP="00495D57">
      <w:pPr>
        <w:pStyle w:val="comma"/>
        <w:spacing w:before="2" w:after="2"/>
        <w:rPr>
          <w:rFonts w:cs="Times New Roman"/>
        </w:rPr>
      </w:pPr>
      <w:r>
        <w:rPr>
          <w:rFonts w:cs="Times New Roman"/>
        </w:rPr>
        <w:t>6. Con lo stesso provvedimento può essere disposto che durante tutto o parte del periodo di affidamento in prova il condannato non soggiorni in uno o più comuni, o soggiorni in un comune determinato; in particolare sono stabilite prescrizioni che impediscano al soggetto di svolgere attività o di avere rapporti personali che possono portare al compimento di altri reati.</w:t>
      </w:r>
    </w:p>
    <w:p w:rsidR="00495D57" w:rsidRDefault="00495D57" w:rsidP="00495D57">
      <w:pPr>
        <w:pStyle w:val="comma"/>
        <w:spacing w:before="2" w:after="2"/>
        <w:rPr>
          <w:rFonts w:cs="Times New Roman"/>
        </w:rPr>
      </w:pPr>
      <w:r>
        <w:rPr>
          <w:rFonts w:cs="Times New Roman"/>
        </w:rPr>
        <w:t xml:space="preserve">7. Nel verbale deve anche stabilirsi che l'affidato si adoperi </w:t>
      </w:r>
      <w:proofErr w:type="gramStart"/>
      <w:r>
        <w:rPr>
          <w:rFonts w:cs="Times New Roman"/>
        </w:rPr>
        <w:t>in quanto</w:t>
      </w:r>
      <w:proofErr w:type="gramEnd"/>
      <w:r>
        <w:rPr>
          <w:rFonts w:cs="Times New Roman"/>
        </w:rPr>
        <w:t xml:space="preserve"> possibile in favore della vittima del suo reato ed adempia puntualmente agli obblighi di assistenza familiare.</w:t>
      </w:r>
    </w:p>
    <w:p w:rsidR="00495D57" w:rsidRDefault="00495D57" w:rsidP="00495D57">
      <w:pPr>
        <w:pStyle w:val="comma"/>
        <w:spacing w:before="2" w:after="2"/>
        <w:rPr>
          <w:rFonts w:cs="Times New Roman"/>
        </w:rPr>
      </w:pPr>
      <w:r>
        <w:rPr>
          <w:rFonts w:cs="Times New Roman"/>
        </w:rPr>
        <w:t xml:space="preserve">8. Nel corso dell'affidamento le prescrizioni possono essere modificate dal magistrato di sorveglianza. Le deroghe temporanee alle prescrizioni sono autorizzate, nei casi di urgenza, dal direttore dell'ufficio di esecuzione penale esterna, che ne dà immediata comunicazione al magistrato di sorveglianza e ne riferisce nella relazione di cui al comma </w:t>
      </w:r>
      <w:proofErr w:type="gramStart"/>
      <w:r>
        <w:rPr>
          <w:rFonts w:cs="Times New Roman"/>
        </w:rPr>
        <w:t>10</w:t>
      </w:r>
      <w:proofErr w:type="gramEnd"/>
      <w:r>
        <w:rPr>
          <w:rFonts w:cs="Times New Roman"/>
        </w:rPr>
        <w:t>.</w:t>
      </w:r>
    </w:p>
    <w:p w:rsidR="00495D57" w:rsidRDefault="00495D57" w:rsidP="00495D57">
      <w:pPr>
        <w:pStyle w:val="comma"/>
        <w:spacing w:before="2" w:after="2"/>
        <w:rPr>
          <w:rFonts w:cs="Times New Roman"/>
        </w:rPr>
      </w:pPr>
      <w:r>
        <w:rPr>
          <w:rFonts w:cs="Times New Roman"/>
        </w:rPr>
        <w:t>9. Il servizio sociale controlla la condotta del soggetto e lo aiuta a superare le difficoltà di adattamento alla vita sociale, anche mettendosi in relazione con la sua famiglia e con gli altri suoi ambienti di vita.</w:t>
      </w:r>
    </w:p>
    <w:p w:rsidR="00495D57" w:rsidRDefault="00495D57" w:rsidP="00495D57">
      <w:pPr>
        <w:pStyle w:val="comma"/>
        <w:spacing w:before="2" w:after="2"/>
        <w:rPr>
          <w:rFonts w:cs="Times New Roman"/>
        </w:rPr>
      </w:pPr>
      <w:r>
        <w:rPr>
          <w:rFonts w:cs="Times New Roman"/>
        </w:rPr>
        <w:t>10. Il servizio sociale riferisce periodicamente al magistrato di sorveglianza sul comportamento del soggetto.</w:t>
      </w:r>
    </w:p>
    <w:p w:rsidR="00495D57" w:rsidRDefault="00495D57" w:rsidP="00495D57">
      <w:pPr>
        <w:pStyle w:val="comma"/>
        <w:spacing w:before="2" w:after="2"/>
        <w:rPr>
          <w:rFonts w:cs="Times New Roman"/>
        </w:rPr>
      </w:pPr>
      <w:r>
        <w:rPr>
          <w:rFonts w:cs="Times New Roman"/>
        </w:rPr>
        <w:t>11. L'affidamento è revocato qualora il comportamento del soggetto, contrario alla legge o alle prescrizioni dettate, appaia incompatibile con la prosecuzione della prova.</w:t>
      </w:r>
    </w:p>
    <w:p w:rsidR="00495D57" w:rsidRDefault="00495D57" w:rsidP="00495D57">
      <w:pPr>
        <w:pStyle w:val="comma"/>
        <w:spacing w:before="2" w:after="2"/>
        <w:rPr>
          <w:rFonts w:cs="Times New Roman"/>
        </w:rPr>
      </w:pPr>
      <w:r>
        <w:rPr>
          <w:rFonts w:cs="Times New Roman"/>
        </w:rPr>
        <w:t xml:space="preserve">12. L'esito positivo del periodo di prova estingue la pena detentiva </w:t>
      </w:r>
      <w:proofErr w:type="gramStart"/>
      <w:r>
        <w:rPr>
          <w:rFonts w:cs="Times New Roman"/>
        </w:rPr>
        <w:t>ed</w:t>
      </w:r>
      <w:proofErr w:type="gramEnd"/>
      <w:r>
        <w:rPr>
          <w:rFonts w:cs="Times New Roman"/>
        </w:rPr>
        <w:t xml:space="preserve"> ogni altro effetto penale, ad eccezione delle pene accessorie perpetue. A tali fini </w:t>
      </w:r>
      <w:proofErr w:type="gramStart"/>
      <w:r>
        <w:rPr>
          <w:rFonts w:cs="Times New Roman"/>
        </w:rPr>
        <w:t>è</w:t>
      </w:r>
      <w:proofErr w:type="gramEnd"/>
      <w:r>
        <w:rPr>
          <w:rFonts w:cs="Times New Roman"/>
        </w:rPr>
        <w:t xml:space="preserve"> valutato anche lo svolgimento di un programma di giustizia riparativa e l'eventuale esito riparativo. Il tribunale di sorveglianza, qualora l'interessato si trovi in disagiate condizioni economiche e patrimoniali, può dichiarare estinta anche la pena pecuniaria che non sia stata già riscossa ovvero la pena sostitutiva nella quale sia stata convertita la pena pecuniaria non eseguita</w:t>
      </w:r>
      <w:hyperlink r:id="rId9" w:anchor="nota_21205" w:history="1">
        <w:proofErr w:type="gramStart"/>
        <w:r>
          <w:rPr>
            <w:rStyle w:val="Collegamentoipertestuale"/>
            <w:rFonts w:cs="Times New Roman"/>
            <w:vertAlign w:val="superscript"/>
          </w:rPr>
          <w:t>(</w:t>
        </w:r>
        <w:proofErr w:type="gramEnd"/>
        <w:r>
          <w:rPr>
            <w:rStyle w:val="Collegamentoipertestuale"/>
            <w:rFonts w:cs="Times New Roman"/>
            <w:vertAlign w:val="superscript"/>
          </w:rPr>
          <w:t>2)</w:t>
        </w:r>
      </w:hyperlink>
      <w:r>
        <w:rPr>
          <w:rFonts w:cs="Times New Roman"/>
        </w:rPr>
        <w:t>.</w:t>
      </w:r>
    </w:p>
    <w:p w:rsidR="00495D57" w:rsidRDefault="00495D57" w:rsidP="00495D57">
      <w:pPr>
        <w:pStyle w:val="comma"/>
        <w:spacing w:before="2" w:after="2"/>
        <w:rPr>
          <w:rFonts w:cs="Times New Roman"/>
        </w:rPr>
      </w:pPr>
      <w:r>
        <w:rPr>
          <w:rFonts w:cs="Times New Roman"/>
        </w:rPr>
        <w:t xml:space="preserve">12-bis. All'affidato in prova al servizio sociale che abbia </w:t>
      </w:r>
      <w:proofErr w:type="gramStart"/>
      <w:r>
        <w:rPr>
          <w:rFonts w:cs="Times New Roman"/>
        </w:rPr>
        <w:t>dato</w:t>
      </w:r>
      <w:proofErr w:type="gramEnd"/>
      <w:r>
        <w:rPr>
          <w:rFonts w:cs="Times New Roman"/>
        </w:rPr>
        <w:t xml:space="preserve"> prova nel periodo di affidamento di un suo concreto recupero sociale, desumibile da comportamenti rivelatori del positivo evolversi della sua personalità, può essere concessa la detrazione di pena di cui all'articolo </w:t>
      </w:r>
      <w:hyperlink r:id="rId10" w:history="1">
        <w:r>
          <w:rPr>
            <w:rStyle w:val="Collegamentoipertestuale"/>
            <w:rFonts w:cs="Times New Roman"/>
          </w:rPr>
          <w:t>54</w:t>
        </w:r>
      </w:hyperlink>
      <w:r>
        <w:rPr>
          <w:rFonts w:cs="Times New Roman"/>
        </w:rPr>
        <w:t xml:space="preserve">. Si applicano gli articoli </w:t>
      </w:r>
      <w:hyperlink r:id="rId11" w:history="1">
        <w:r>
          <w:rPr>
            <w:rStyle w:val="Collegamentoipertestuale"/>
            <w:rFonts w:cs="Times New Roman"/>
          </w:rPr>
          <w:t>69</w:t>
        </w:r>
      </w:hyperlink>
      <w:r>
        <w:rPr>
          <w:rFonts w:cs="Times New Roman"/>
        </w:rPr>
        <w:t xml:space="preserve">, comma </w:t>
      </w:r>
      <w:proofErr w:type="gramStart"/>
      <w:r>
        <w:rPr>
          <w:rFonts w:cs="Times New Roman"/>
        </w:rPr>
        <w:t>8</w:t>
      </w:r>
      <w:proofErr w:type="gramEnd"/>
      <w:r>
        <w:rPr>
          <w:rFonts w:cs="Times New Roman"/>
        </w:rPr>
        <w:t xml:space="preserve">, e </w:t>
      </w:r>
      <w:hyperlink r:id="rId12" w:history="1">
        <w:r>
          <w:rPr>
            <w:rStyle w:val="Collegamentoipertestuale"/>
            <w:rFonts w:cs="Times New Roman"/>
          </w:rPr>
          <w:t>69 bis</w:t>
        </w:r>
      </w:hyperlink>
      <w:r>
        <w:rPr>
          <w:rFonts w:cs="Times New Roman"/>
        </w:rPr>
        <w:t xml:space="preserve"> nonché l'articolo </w:t>
      </w:r>
      <w:hyperlink r:id="rId13" w:history="1">
        <w:r>
          <w:rPr>
            <w:rStyle w:val="Collegamentoipertestuale"/>
            <w:rFonts w:cs="Times New Roman"/>
          </w:rPr>
          <w:t>54</w:t>
        </w:r>
      </w:hyperlink>
      <w:r>
        <w:rPr>
          <w:rFonts w:cs="Times New Roman"/>
        </w:rPr>
        <w:t>, comma 3.</w:t>
      </w:r>
    </w:p>
    <w:p w:rsidR="00A50EE1" w:rsidRDefault="00495D57"/>
    <w:sectPr w:rsidR="00A50EE1" w:rsidSect="00A50EE1">
      <w:pgSz w:w="11900" w:h="16840"/>
      <w:pgMar w:top="1417" w:right="1134" w:bottom="1134" w:left="1134" w:header="708" w:footer="708" w:gutter="0"/>
      <w:cols w:space="708"/>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grammar="clean"/>
  <w:doNotTrackMoves/>
  <w:defaultTabStop w:val="708"/>
  <w:hyphenationZone w:val="283"/>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495D57"/>
    <w:rsid w:val="00495D57"/>
  </w:rsids>
  <m:mathPr>
    <m:mathFont m:val="Wingdings 2"/>
    <m:brkBin m:val="before"/>
    <m:brkBinSub m:val="--"/>
    <m:smallFrac m:val="off"/>
    <m:dispDef m:val="off"/>
    <m:lMargin m:val="0"/>
    <m:rMargin m:val="0"/>
    <m:wrapRight/>
    <m:intLim m:val="subSup"/>
    <m:naryLim m:val="subSup"/>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B2DEC"/>
  </w:style>
  <w:style w:type="paragraph" w:styleId="Titolo1">
    <w:name w:val="heading 1"/>
    <w:basedOn w:val="Normale"/>
    <w:link w:val="Titolo1Carattere"/>
    <w:uiPriority w:val="9"/>
    <w:rsid w:val="00495D57"/>
    <w:pPr>
      <w:spacing w:beforeLines="1" w:afterLines="1"/>
      <w:outlineLvl w:val="0"/>
    </w:pPr>
    <w:rPr>
      <w:rFonts w:ascii="Times" w:hAnsi="Times"/>
      <w:b/>
      <w:kern w:val="36"/>
      <w:sz w:val="48"/>
      <w:szCs w:val="20"/>
      <w:lang w:eastAsia="it-IT"/>
    </w:rPr>
  </w:style>
  <w:style w:type="paragraph" w:styleId="Titolo2">
    <w:name w:val="heading 2"/>
    <w:basedOn w:val="Normale"/>
    <w:link w:val="Titolo2Carattere"/>
    <w:uiPriority w:val="9"/>
    <w:rsid w:val="00495D57"/>
    <w:pPr>
      <w:spacing w:beforeLines="1" w:afterLines="1"/>
      <w:outlineLvl w:val="1"/>
    </w:pPr>
    <w:rPr>
      <w:rFonts w:ascii="Times" w:hAnsi="Times"/>
      <w:b/>
      <w:sz w:val="36"/>
      <w:szCs w:val="20"/>
      <w:lang w:eastAsia="it-IT"/>
    </w:rPr>
  </w:style>
  <w:style w:type="paragraph" w:styleId="Titolo3">
    <w:name w:val="heading 3"/>
    <w:basedOn w:val="Normale"/>
    <w:link w:val="Titolo3Carattere"/>
    <w:uiPriority w:val="9"/>
    <w:rsid w:val="00495D57"/>
    <w:pPr>
      <w:spacing w:beforeLines="1" w:afterLines="1"/>
      <w:outlineLvl w:val="2"/>
    </w:pPr>
    <w:rPr>
      <w:rFonts w:ascii="Times" w:hAnsi="Times"/>
      <w:b/>
      <w:sz w:val="27"/>
      <w:szCs w:val="20"/>
      <w:lang w:eastAsia="it-IT"/>
    </w:rPr>
  </w:style>
  <w:style w:type="character" w:default="1" w:styleId="Caratterepredefinitoparagrafo">
    <w:name w:val="Default Paragraph Font"/>
    <w:semiHidden/>
    <w:unhideWhenUsed/>
  </w:style>
  <w:style w:type="table" w:default="1" w:styleId="Tabellanormale">
    <w:name w:val="Normal Table"/>
    <w:semiHidden/>
    <w:unhideWhenUsed/>
    <w:qFormat/>
    <w:tblPr>
      <w:tblInd w:w="0" w:type="dxa"/>
      <w:tblCellMar>
        <w:top w:w="0" w:type="dxa"/>
        <w:left w:w="108" w:type="dxa"/>
        <w:bottom w:w="0" w:type="dxa"/>
        <w:right w:w="108" w:type="dxa"/>
      </w:tblCellMar>
    </w:tblPr>
  </w:style>
  <w:style w:type="numbering" w:default="1" w:styleId="Nessunelenco">
    <w:name w:val="No List"/>
    <w:semiHidden/>
    <w:unhideWhenUsed/>
  </w:style>
  <w:style w:type="paragraph" w:customStyle="1" w:styleId="comma">
    <w:name w:val="comma"/>
    <w:basedOn w:val="Normale"/>
    <w:rsid w:val="00495D57"/>
    <w:pPr>
      <w:spacing w:beforeLines="1" w:afterLines="1"/>
    </w:pPr>
    <w:rPr>
      <w:rFonts w:ascii="Times" w:hAnsi="Times"/>
      <w:sz w:val="20"/>
      <w:szCs w:val="20"/>
      <w:lang w:eastAsia="it-IT"/>
    </w:rPr>
  </w:style>
  <w:style w:type="character" w:styleId="Collegamentoipertestuale">
    <w:name w:val="Hyperlink"/>
    <w:basedOn w:val="Caratterepredefinitoparagrafo"/>
    <w:uiPriority w:val="99"/>
    <w:rsid w:val="00495D57"/>
    <w:rPr>
      <w:color w:val="0000FF"/>
      <w:u w:val="single"/>
    </w:rPr>
  </w:style>
  <w:style w:type="character" w:customStyle="1" w:styleId="Titolo1Carattere">
    <w:name w:val="Titolo 1 Carattere"/>
    <w:basedOn w:val="Caratterepredefinitoparagrafo"/>
    <w:link w:val="Titolo1"/>
    <w:uiPriority w:val="9"/>
    <w:rsid w:val="00495D57"/>
    <w:rPr>
      <w:rFonts w:ascii="Times" w:hAnsi="Times"/>
      <w:b/>
      <w:kern w:val="36"/>
      <w:sz w:val="48"/>
      <w:szCs w:val="20"/>
      <w:lang w:eastAsia="it-IT"/>
    </w:rPr>
  </w:style>
  <w:style w:type="character" w:customStyle="1" w:styleId="Titolo2Carattere">
    <w:name w:val="Titolo 2 Carattere"/>
    <w:basedOn w:val="Caratterepredefinitoparagrafo"/>
    <w:link w:val="Titolo2"/>
    <w:uiPriority w:val="9"/>
    <w:rsid w:val="00495D57"/>
    <w:rPr>
      <w:rFonts w:ascii="Times" w:hAnsi="Times"/>
      <w:b/>
      <w:sz w:val="36"/>
      <w:szCs w:val="20"/>
      <w:lang w:eastAsia="it-IT"/>
    </w:rPr>
  </w:style>
  <w:style w:type="character" w:customStyle="1" w:styleId="Titolo3Carattere">
    <w:name w:val="Titolo 3 Carattere"/>
    <w:basedOn w:val="Caratterepredefinitoparagrafo"/>
    <w:link w:val="Titolo3"/>
    <w:uiPriority w:val="9"/>
    <w:rsid w:val="00495D57"/>
    <w:rPr>
      <w:rFonts w:ascii="Times" w:hAnsi="Times"/>
      <w:b/>
      <w:sz w:val="27"/>
      <w:szCs w:val="20"/>
      <w:lang w:eastAsia="it-IT"/>
    </w:rPr>
  </w:style>
</w:styles>
</file>

<file path=word/webSettings.xml><?xml version="1.0" encoding="utf-8"?>
<w:webSettings xmlns:r="http://schemas.openxmlformats.org/officeDocument/2006/relationships" xmlns:w="http://schemas.openxmlformats.org/wordprocessingml/2006/main">
  <w:divs>
    <w:div w:id="1058557286">
      <w:bodyDiv w:val="1"/>
      <w:marLeft w:val="0"/>
      <w:marRight w:val="0"/>
      <w:marTop w:val="0"/>
      <w:marBottom w:val="0"/>
      <w:divBdr>
        <w:top w:val="none" w:sz="0" w:space="0" w:color="auto"/>
        <w:left w:val="none" w:sz="0" w:space="0" w:color="auto"/>
        <w:bottom w:val="none" w:sz="0" w:space="0" w:color="auto"/>
        <w:right w:val="none" w:sz="0" w:space="0" w:color="auto"/>
      </w:divBdr>
      <w:divsChild>
        <w:div w:id="765199288">
          <w:marLeft w:val="0"/>
          <w:marRight w:val="0"/>
          <w:marTop w:val="0"/>
          <w:marBottom w:val="0"/>
          <w:divBdr>
            <w:top w:val="none" w:sz="0" w:space="0" w:color="auto"/>
            <w:left w:val="none" w:sz="0" w:space="0" w:color="auto"/>
            <w:bottom w:val="none" w:sz="0" w:space="0" w:color="auto"/>
            <w:right w:val="none" w:sz="0" w:space="0" w:color="auto"/>
          </w:divBdr>
        </w:div>
      </w:divsChild>
    </w:div>
    <w:div w:id="1417093074">
      <w:bodyDiv w:val="1"/>
      <w:marLeft w:val="0"/>
      <w:marRight w:val="0"/>
      <w:marTop w:val="0"/>
      <w:marBottom w:val="0"/>
      <w:divBdr>
        <w:top w:val="none" w:sz="0" w:space="0" w:color="auto"/>
        <w:left w:val="none" w:sz="0" w:space="0" w:color="auto"/>
        <w:bottom w:val="none" w:sz="0" w:space="0" w:color="auto"/>
        <w:right w:val="none" w:sz="0" w:space="0" w:color="auto"/>
      </w:divBdr>
      <w:divsChild>
        <w:div w:id="589898059">
          <w:marLeft w:val="0"/>
          <w:marRight w:val="0"/>
          <w:marTop w:val="0"/>
          <w:marBottom w:val="0"/>
          <w:divBdr>
            <w:top w:val="none" w:sz="0" w:space="0" w:color="auto"/>
            <w:left w:val="none" w:sz="0" w:space="0" w:color="auto"/>
            <w:bottom w:val="none" w:sz="0" w:space="0" w:color="auto"/>
            <w:right w:val="none" w:sz="0" w:space="0" w:color="auto"/>
          </w:divBdr>
          <w:divsChild>
            <w:div w:id="1565870461">
              <w:marLeft w:val="0"/>
              <w:marRight w:val="0"/>
              <w:marTop w:val="0"/>
              <w:marBottom w:val="0"/>
              <w:divBdr>
                <w:top w:val="none" w:sz="0" w:space="0" w:color="auto"/>
                <w:left w:val="none" w:sz="0" w:space="0" w:color="auto"/>
                <w:bottom w:val="none" w:sz="0" w:space="0" w:color="auto"/>
                <w:right w:val="none" w:sz="0" w:space="0" w:color="auto"/>
              </w:divBdr>
            </w:div>
            <w:div w:id="1568566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s://www.brocardi.it/legge-ordinamento-penitenziario/titolo-ii/capo-ii/art69.html" TargetMode="External"/><Relationship Id="rId12" Type="http://schemas.openxmlformats.org/officeDocument/2006/relationships/hyperlink" Target="https://www.brocardi.it/legge-ordinamento-penitenziario/titolo-ii/capo-ii/art69bis.html" TargetMode="External"/><Relationship Id="rId13" Type="http://schemas.openxmlformats.org/officeDocument/2006/relationships/hyperlink" Target="https://www.brocardi.it/legge-ordinamento-penitenziario/titolo-i/capo-vi/art54.html" TargetMode="Externa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4" Type="http://schemas.openxmlformats.org/officeDocument/2006/relationships/hyperlink" Target="https://www.brocardi.it/legge-ordinamento-penitenziario/titolo-i/capo-vi/art47.html" TargetMode="External"/><Relationship Id="rId5" Type="http://schemas.openxmlformats.org/officeDocument/2006/relationships/hyperlink" Target="https://www.brocardi.it/legge-ordinamento-penitenziario/titolo-i/capo-vi/art47.html" TargetMode="External"/><Relationship Id="rId6" Type="http://schemas.openxmlformats.org/officeDocument/2006/relationships/hyperlink" Target="https://www.brocardi.it/codice-di-procedura-penale/libro-decimo/titolo-iii/capo-ii/art678.html" TargetMode="External"/><Relationship Id="rId7" Type="http://schemas.openxmlformats.org/officeDocument/2006/relationships/hyperlink" Target="https://www.brocardi.it/codice-di-procedura-penale/" TargetMode="External"/><Relationship Id="rId8" Type="http://schemas.openxmlformats.org/officeDocument/2006/relationships/hyperlink" Target="https://www.brocardi.it/legge-ordinamento-penitenziario/titolo-i/capo-vi/art47.html" TargetMode="External"/><Relationship Id="rId9" Type="http://schemas.openxmlformats.org/officeDocument/2006/relationships/hyperlink" Target="https://www.brocardi.it/legge-ordinamento-penitenziario/titolo-i/capo-vi/art47.html" TargetMode="External"/><Relationship Id="rId10" Type="http://schemas.openxmlformats.org/officeDocument/2006/relationships/hyperlink" Target="https://www.brocardi.it/legge-ordinamento-penitenziario/titolo-i/capo-vi/art54.html"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1077</Words>
  <Characters>6139</Characters>
  <Application>Microsoft Macintosh Word</Application>
  <DocSecurity>0</DocSecurity>
  <Lines>51</Lines>
  <Paragraphs>12</Paragraphs>
  <ScaleCrop>false</ScaleCrop>
  <Company>...</Company>
  <LinksUpToDate>false</LinksUpToDate>
  <CharactersWithSpaces>7539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Massimiliano Chiuchiolo</cp:lastModifiedBy>
  <cp:revision>1</cp:revision>
  <dcterms:created xsi:type="dcterms:W3CDTF">2025-05-06T11:34:00Z</dcterms:created>
  <dcterms:modified xsi:type="dcterms:W3CDTF">2025-05-06T11:34:00Z</dcterms:modified>
</cp:coreProperties>
</file>